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fonts/font9.odttf" ContentType="application/vnd.openxmlformats-officedocument.obfuscatedFont"/>
  <Override PartName="/word/fonts/font15.odttf" ContentType="application/vnd.openxmlformats-officedocument.obfuscatedFont"/>
  <Override PartName="/word/fonts/font8.odttf" ContentType="application/vnd.openxmlformats-officedocument.obfuscatedFont"/>
  <Override PartName="/word/fonts/font14.odttf" ContentType="application/vnd.openxmlformats-officedocument.obfuscatedFont"/>
  <Override PartName="/word/fonts/font17.odttf" ContentType="application/vnd.openxmlformats-officedocument.obfuscatedFont"/>
  <Override PartName="/word/fonts/font16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10.odttf" ContentType="application/vnd.openxmlformats-officedocument.obfuscatedFont"/>
  <Override PartName="/word/fonts/font4.odttf" ContentType="application/vnd.openxmlformats-officedocument.obfuscatedFont"/>
  <Override PartName="/word/fonts/font7.odttf" ContentType="application/vnd.openxmlformats-officedocument.obfuscatedFont"/>
  <Override PartName="/word/fonts/font13.odttf" ContentType="application/vnd.openxmlformats-officedocument.obfuscatedFont"/>
  <Override PartName="/word/fonts/font11.odttf" ContentType="application/vnd.openxmlformats-officedocument.obfuscatedFont"/>
  <Override PartName="/word/fonts/font5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Title"/>
        <w:spacing w:before="480" w:after="120"/>
        <w:rPr/>
      </w:pPr>
      <w:bookmarkStart w:id="0" w:name="_6nclq5xpka3h"/>
      <w:bookmarkEnd w:id="0"/>
      <w:r>
        <w:rPr/>
        <w:t>The Impact of Remote Work on Employee Productivity and Well-being: A Comprehensive Analysis</w:t>
      </w:r>
    </w:p>
    <w:p>
      <w:pPr>
        <w:pStyle w:val="Heading1"/>
        <w:rPr/>
      </w:pPr>
      <w:bookmarkStart w:id="1" w:name="_gstt4mxoq0e1"/>
      <w:bookmarkEnd w:id="1"/>
      <w:r>
        <w:rPr/>
        <w:t>Executive Summary</w:t>
      </w:r>
    </w:p>
    <w:p>
      <w:pPr>
        <w:pStyle w:val="normal1"/>
        <w:rPr/>
      </w:pPr>
      <w:r>
        <w:rPr/>
        <w:t>This report examines the multifaceted impact of remote work arrangements on employee productivity and well-being, drawing upon a quantitative and qualitative dataset collected across various industries during the period of Date to Date. The findings indicate a complex relationship where productivity is maintained or slightly increased for certain job functions, while well-being metrics show a concerning trend of increased reported burnout and difficulty in maintaining work-life boundaries. Key recommendations focus on targeted management training, investment in ergonomic remote setups, and the implementation of flexible, hybrid models. The full dataset is available in File.</w:t>
      </w:r>
    </w:p>
    <w:p>
      <w:pPr>
        <w:pStyle w:val="Heading1"/>
        <w:rPr/>
      </w:pPr>
      <w:bookmarkStart w:id="2" w:name="_83f8emkd3fr3"/>
      <w:bookmarkEnd w:id="2"/>
      <w:r>
        <w:rPr/>
        <w:t>1. Introduction</w:t>
      </w:r>
    </w:p>
    <w:p>
      <w:pPr>
        <w:pStyle w:val="normal1"/>
        <w:rPr/>
      </w:pPr>
      <w:r>
        <w:rPr/>
        <w:t>The global shift towards remote work, accelerated by recent events, has fundamentally altered the landscape of professional employment. This document aims to provide a data-driven analysis of this transformation, focusing on two critical organizational outcomes: employee productivity and employee well-being. Understanding these effects is paramount for organizations seeking to create sustainable and effective future-of-work strategies.</w:t>
      </w:r>
    </w:p>
    <w:p>
      <w:pPr>
        <w:pStyle w:val="Heading2"/>
        <w:rPr/>
      </w:pPr>
      <w:bookmarkStart w:id="3" w:name="_55lzmp1byfj3"/>
      <w:bookmarkEnd w:id="3"/>
      <w:r>
        <w:rPr/>
        <w:t>1.1 Methodology</w:t>
      </w:r>
    </w:p>
    <w:p>
      <w:pPr>
        <w:pStyle w:val="normal1"/>
        <w:rPr/>
      </w:pPr>
      <w:r>
        <w:rPr/>
        <w:t>The study employed a mixed-methods approach.</w:t>
      </w:r>
    </w:p>
    <w:p>
      <w:pPr>
        <w:pStyle w:val="Heading3"/>
        <w:rPr/>
      </w:pPr>
      <w:bookmarkStart w:id="4" w:name="_6msw84xpj0bx"/>
      <w:bookmarkEnd w:id="4"/>
      <w:r>
        <w:rPr/>
        <w:t>1.1.1 Data Collection</w:t>
      </w:r>
    </w:p>
    <w:p>
      <w:pPr>
        <w:pStyle w:val="normal1"/>
        <w:rPr/>
      </w:pPr>
      <w:r>
        <w:rPr>
          <w:b/>
          <w:bCs/>
        </w:rPr>
        <w:t>Quantitative Data:</w:t>
      </w:r>
      <w:r>
        <w:rPr/>
        <w:t xml:space="preserve"> Performance metrics (e.g., project completion rate, task velocity) were collected from 5,000 anonymized employees across 5 major sectors (Technology, Finance, Education, Healthcare Administration, and Marketing). Survey data on perceived productivity, job satisfaction, and work-life balance was also collected.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0" w:right="0"/>
        <w:jc w:val="left"/>
        <w:rPr/>
      </w:pPr>
      <w:r>
        <w:rPr/>
      </w:r>
    </w:p>
    <w:p>
      <w:pPr>
        <w:pStyle w:val="normal1"/>
        <w:rPr/>
      </w:pPr>
      <w:r>
        <w:rPr>
          <w:b/>
          <w:bCs/>
        </w:rPr>
        <w:t>Qualitative Data:</w:t>
      </w:r>
      <w:r>
        <w:rPr/>
        <w:t xml:space="preserve"> 250 semi-structured interviews were conducted with employees and managers to explore the nuances of the remote work experience.</w:t>
      </w:r>
    </w:p>
    <w:p>
      <w:pPr>
        <w:pStyle w:val="Heading3"/>
        <w:rPr/>
      </w:pPr>
      <w:bookmarkStart w:id="5" w:name="_oi1a3dkxiizb"/>
      <w:bookmarkEnd w:id="5"/>
      <w:r>
        <w:rPr/>
        <w:t>1.1.2 Scope</w:t>
      </w:r>
    </w:p>
    <w:p>
      <w:pPr>
        <w:pStyle w:val="normal1"/>
        <w:rPr/>
      </w:pPr>
      <w:r>
        <w:rPr/>
        <w:t>The analysis focuses on salaried, full-time employees who transitioned from a primarily in-office setting to a fully or mostly remote arrangement. Data was normalized against a pre-remote baseline from the period of Date.</w:t>
      </w:r>
    </w:p>
    <w:p>
      <w:pPr>
        <w:pStyle w:val="Heading1"/>
        <w:rPr/>
      </w:pPr>
      <w:bookmarkStart w:id="6" w:name="_umwg65t663b6"/>
      <w:bookmarkEnd w:id="6"/>
      <w:r>
        <w:rPr/>
        <w:t>2. Impact on Employee Productivity</w:t>
      </w:r>
    </w:p>
    <w:p>
      <w:pPr>
        <w:pStyle w:val="normal1"/>
        <w:rPr/>
      </w:pPr>
      <w:r>
        <w:rPr/>
        <w:t>Productivity analysis was segmented into two categories: objective performance metrics and subjective employee perception.</w:t>
      </w:r>
    </w:p>
    <w:p>
      <w:pPr>
        <w:pStyle w:val="Heading2"/>
        <w:rPr/>
      </w:pPr>
      <w:bookmarkStart w:id="7" w:name="_8jedwgiust6t"/>
      <w:bookmarkEnd w:id="7"/>
      <w:r>
        <w:rPr/>
        <w:t>2.1 Objective Performance Metrics</w:t>
      </w:r>
    </w:p>
    <w:p>
      <w:pPr>
        <w:pStyle w:val="normal1"/>
        <w:rPr/>
      </w:pPr>
      <w:r>
        <w:rPr/>
        <w:t>The table below summarizes the change in key objective performance metrics by sector.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0" w:right="0"/>
        <w:jc w:val="left"/>
        <w:rPr/>
      </w:pPr>
      <w:r>
        <w:rPr/>
      </w:r>
    </w:p>
    <w:tbl>
      <w:tblPr>
        <w:tblStyle w:val="Table1"/>
        <w:tblW w:w="1400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620"/>
      </w:tblPr>
      <w:tblGrid>
        <w:gridCol w:w="3500"/>
        <w:gridCol w:w="3500"/>
        <w:gridCol w:w="3500"/>
        <w:gridCol w:w="3499"/>
      </w:tblGrid>
      <w:tr>
        <w:trPr>
          <w:tblHeader w:val="true"/>
          <w:trHeight w:val="708" w:hRule="atLeast"/>
        </w:trPr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Sector</w:t>
            </w:r>
          </w:p>
        </w:tc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Change in Project Completion Rate (Pre vs. Post Remote)</w:t>
            </w:r>
          </w:p>
        </w:tc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Change in Average Task Velocity (Normalized Units)</w:t>
            </w:r>
          </w:p>
        </w:tc>
        <w:tc>
          <w:tcPr>
            <w:tcW w:w="3499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Percentage of Teams Reporting Higher Efficiency</w:t>
            </w:r>
          </w:p>
        </w:tc>
      </w:tr>
      <w:tr>
        <w:trPr>
          <w:trHeight w:val="564" w:hRule="atLeast"/>
        </w:trPr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Technology</w:t>
            </w:r>
          </w:p>
        </w:tc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+4.1%</w:t>
            </w:r>
          </w:p>
        </w:tc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+6.5%</w:t>
            </w:r>
          </w:p>
        </w:tc>
        <w:tc>
          <w:tcPr>
            <w:tcW w:w="3499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78%</w:t>
            </w:r>
          </w:p>
        </w:tc>
      </w:tr>
      <w:tr>
        <w:trPr>
          <w:trHeight w:val="564" w:hRule="atLeast"/>
        </w:trPr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Finance</w:t>
            </w:r>
          </w:p>
        </w:tc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+1.5%</w:t>
            </w:r>
          </w:p>
        </w:tc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+2.0%</w:t>
            </w:r>
          </w:p>
        </w:tc>
        <w:tc>
          <w:tcPr>
            <w:tcW w:w="3499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55%</w:t>
            </w:r>
          </w:p>
        </w:tc>
      </w:tr>
      <w:tr>
        <w:trPr>
          <w:trHeight w:val="564" w:hRule="atLeast"/>
        </w:trPr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Education Administration</w:t>
            </w:r>
          </w:p>
        </w:tc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+0.5%</w:t>
            </w:r>
          </w:p>
        </w:tc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-1.2%</w:t>
            </w:r>
          </w:p>
        </w:tc>
        <w:tc>
          <w:tcPr>
            <w:tcW w:w="3499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40%</w:t>
            </w:r>
          </w:p>
        </w:tc>
      </w:tr>
      <w:tr>
        <w:trPr>
          <w:trHeight w:val="564" w:hRule="atLeast"/>
        </w:trPr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Healthcare Administration</w:t>
            </w:r>
          </w:p>
        </w:tc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+2.8%</w:t>
            </w:r>
          </w:p>
        </w:tc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+3.5%</w:t>
            </w:r>
          </w:p>
        </w:tc>
        <w:tc>
          <w:tcPr>
            <w:tcW w:w="3499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62%</w:t>
            </w:r>
          </w:p>
        </w:tc>
      </w:tr>
      <w:tr>
        <w:trPr>
          <w:trHeight w:val="564" w:hRule="atLeast"/>
        </w:trPr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Marketing</w:t>
            </w:r>
          </w:p>
        </w:tc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+5.3%</w:t>
            </w:r>
          </w:p>
        </w:tc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+7.9%</w:t>
            </w:r>
          </w:p>
        </w:tc>
        <w:tc>
          <w:tcPr>
            <w:tcW w:w="3499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85%</w:t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0" w:right="0"/>
        <w:jc w:val="left"/>
        <w:rPr/>
      </w:pPr>
      <w:r>
        <w:rPr/>
      </w:r>
    </w:p>
    <w:p>
      <w:pPr>
        <w:pStyle w:val="normal1"/>
        <w:rPr/>
      </w:pPr>
      <w:r>
        <w:rPr/>
        <w:t>Overall, 64% of surveyed teams reported either maintaining or increasing their objective efficiency metrics. The largest gains were observed in sectors with high degrees of individual-focused, screen-based work, such as Marketing and Technology.</w:t>
      </w:r>
    </w:p>
    <w:p>
      <w:pPr>
        <w:pStyle w:val="Heading2"/>
        <w:rPr/>
      </w:pPr>
      <w:bookmarkStart w:id="8" w:name="_kgen7kwehtlp"/>
      <w:bookmarkEnd w:id="8"/>
      <w:r>
        <w:rPr/>
        <w:t>2.2 Subjective Productivity and Autonomy</w:t>
      </w:r>
    </w:p>
    <w:p>
      <w:pPr>
        <w:pStyle w:val="normal1"/>
        <w:rPr/>
      </w:pPr>
      <w:r>
        <w:rPr/>
        <w:t>Employee self-reported data indicated a strong perception of increased personal productivity.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0" w:right="0"/>
        <w:jc w:val="left"/>
        <w:rPr/>
      </w:pPr>
      <w:r>
        <w:rPr/>
      </w:r>
    </w:p>
    <w:p>
      <w:pPr>
        <w:pStyle w:val="normal1"/>
        <w:numPr>
          <w:ilvl w:val="0"/>
          <w:numId w:val="7"/>
        </w:numPr>
        <w:ind w:hanging="360" w:left="720"/>
        <w:rPr>
          <w:rFonts w:ascii="Inter" w:hAnsi="Inter" w:eastAsia="Inter" w:cs="Inter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1F1F1F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b/>
          <w:bCs/>
        </w:rPr>
        <w:t>72%</w:t>
      </w:r>
      <w:r>
        <w:rPr/>
        <w:t xml:space="preserve"> of employees reported feeling "more productive" or "significantly more productive" working remotely.</w:t>
      </w:r>
    </w:p>
    <w:p>
      <w:pPr>
        <w:pStyle w:val="normal1"/>
        <w:numPr>
          <w:ilvl w:val="0"/>
          <w:numId w:val="7"/>
        </w:numPr>
        <w:ind w:hanging="360" w:left="720"/>
        <w:rPr>
          <w:rFonts w:ascii="Inter" w:hAnsi="Inter" w:eastAsia="Inter" w:cs="Inter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1F1F1F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b/>
          <w:bCs/>
        </w:rPr>
        <w:t>88%</w:t>
      </w:r>
      <w:r>
        <w:rPr/>
        <w:t xml:space="preserve"> attributed this increase to:</w:t>
      </w:r>
    </w:p>
    <w:p>
      <w:pPr>
        <w:pStyle w:val="normal1"/>
        <w:numPr>
          <w:ilvl w:val="1"/>
          <w:numId w:val="7"/>
        </w:numPr>
        <w:ind w:hanging="360" w:left="1440"/>
        <w:rPr>
          <w:rFonts w:ascii="Inter" w:hAnsi="Inter" w:eastAsia="Inter" w:cs="Inter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1F1F1F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Fewer distractions from colleagues (45%)</w:t>
      </w:r>
    </w:p>
    <w:p>
      <w:pPr>
        <w:pStyle w:val="normal1"/>
        <w:numPr>
          <w:ilvl w:val="1"/>
          <w:numId w:val="7"/>
        </w:numPr>
        <w:ind w:hanging="360" w:left="1440"/>
        <w:rPr>
          <w:rFonts w:ascii="Inter" w:hAnsi="Inter" w:eastAsia="Inter" w:cs="Inter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1F1F1F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Elimination of commute time (30%)</w:t>
      </w:r>
    </w:p>
    <w:p>
      <w:pPr>
        <w:pStyle w:val="normal1"/>
        <w:numPr>
          <w:ilvl w:val="1"/>
          <w:numId w:val="7"/>
        </w:numPr>
        <w:ind w:hanging="360" w:left="1440"/>
        <w:rPr>
          <w:rFonts w:ascii="Inter" w:hAnsi="Inter" w:eastAsia="Inter" w:cs="Inter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1F1F1F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Greater control over their work environment (25%)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0" w:right="0"/>
        <w:jc w:val="left"/>
        <w:rPr/>
      </w:pPr>
      <w:r>
        <w:rPr/>
      </w:r>
    </w:p>
    <w:p>
      <w:pPr>
        <w:pStyle w:val="normal1"/>
        <w:rPr/>
      </w:pPr>
      <w:r>
        <w:rPr/>
        <w:t>Conversely, managers expressed some concerns, with 35% reporting difficulties in objectively measuring output and 20% noting a perceived decrease in spontaneous collaboration, which they considered crucial for innovation.</w:t>
      </w:r>
    </w:p>
    <w:p>
      <w:pPr>
        <w:pStyle w:val="Heading1"/>
        <w:rPr/>
      </w:pPr>
      <w:bookmarkStart w:id="9" w:name="_nnvu9fsrmz19"/>
      <w:bookmarkEnd w:id="9"/>
      <w:r>
        <w:rPr/>
        <w:t>3. Impact on Employee Well-being</w:t>
      </w:r>
    </w:p>
    <w:p>
      <w:pPr>
        <w:pStyle w:val="normal1"/>
        <w:rPr/>
      </w:pPr>
      <w:r>
        <w:rPr/>
        <w:t>The analysis of well-being metrics presents a more concerning picture, highlighting the hidden costs of the remote work transition.</w:t>
      </w:r>
    </w:p>
    <w:p>
      <w:pPr>
        <w:pStyle w:val="Heading2"/>
        <w:rPr/>
      </w:pPr>
      <w:bookmarkStart w:id="10" w:name="_8vmvxocq4706"/>
      <w:bookmarkEnd w:id="10"/>
      <w:r>
        <w:rPr/>
        <w:t>3.1 Work-Life Balance and Boundaries</w:t>
      </w:r>
    </w:p>
    <w:p>
      <w:pPr>
        <w:pStyle w:val="normal1"/>
        <w:rPr/>
      </w:pPr>
      <w:r>
        <w:rPr/>
        <w:t>The blurring of the lines between work and personal life was the most cited negative factor.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0" w:right="0"/>
        <w:jc w:val="left"/>
        <w:rPr/>
      </w:pPr>
      <w:r>
        <w:rPr/>
      </w:r>
    </w:p>
    <w:tbl>
      <w:tblPr>
        <w:tblStyle w:val="Table2"/>
        <w:tblW w:w="1400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620"/>
      </w:tblPr>
      <w:tblGrid>
        <w:gridCol w:w="3500"/>
        <w:gridCol w:w="3500"/>
        <w:gridCol w:w="3500"/>
        <w:gridCol w:w="3499"/>
      </w:tblGrid>
      <w:tr>
        <w:trPr>
          <w:tblHeader w:val="true"/>
          <w:trHeight w:val="708" w:hRule="atLeast"/>
        </w:trPr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Well-being Metric</w:t>
            </w:r>
          </w:p>
        </w:tc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Pre-Remote Baseline (Avg. Score / %)</w:t>
            </w:r>
          </w:p>
        </w:tc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Post-Remote Status (Avg. Score / %)</w:t>
            </w:r>
          </w:p>
        </w:tc>
        <w:tc>
          <w:tcPr>
            <w:tcW w:w="3499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Change (%)</w:t>
            </w:r>
          </w:p>
        </w:tc>
      </w:tr>
      <w:tr>
        <w:trPr>
          <w:trHeight w:val="564" w:hRule="atLeast"/>
        </w:trPr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Average Self-Reported Daily Overtime (Hours)</w:t>
            </w:r>
          </w:p>
        </w:tc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0.8 hours</w:t>
            </w:r>
          </w:p>
        </w:tc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1.5 hours</w:t>
            </w:r>
          </w:p>
        </w:tc>
        <w:tc>
          <w:tcPr>
            <w:tcW w:w="3499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+87.5%</w:t>
            </w:r>
          </w:p>
        </w:tc>
      </w:tr>
      <w:tr>
        <w:trPr>
          <w:trHeight w:val="564" w:hRule="atLeast"/>
        </w:trPr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Percentage Reporting Difficulty "Switching Off"</w:t>
            </w:r>
          </w:p>
        </w:tc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35%</w:t>
            </w:r>
          </w:p>
        </w:tc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75%</w:t>
            </w:r>
          </w:p>
        </w:tc>
        <w:tc>
          <w:tcPr>
            <w:tcW w:w="3499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+114.3%</w:t>
            </w:r>
          </w:p>
        </w:tc>
      </w:tr>
      <w:tr>
        <w:trPr>
          <w:trHeight w:val="564" w:hRule="atLeast"/>
        </w:trPr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Reported Quality of Sleep (1-5 Scale)</w:t>
            </w:r>
          </w:p>
        </w:tc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3.9</w:t>
            </w:r>
          </w:p>
        </w:tc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3.1</w:t>
            </w:r>
          </w:p>
        </w:tc>
        <w:tc>
          <w:tcPr>
            <w:tcW w:w="3499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-20.5%</w:t>
            </w:r>
          </w:p>
        </w:tc>
      </w:tr>
      <w:tr>
        <w:trPr>
          <w:trHeight w:val="564" w:hRule="atLeast"/>
        </w:trPr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Frequency of Physical Activity (Times/Week)</w:t>
            </w:r>
          </w:p>
        </w:tc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3.5</w:t>
            </w:r>
          </w:p>
        </w:tc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2.1</w:t>
            </w:r>
          </w:p>
        </w:tc>
        <w:tc>
          <w:tcPr>
            <w:tcW w:w="3499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-40.0%</w:t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0" w:right="0"/>
        <w:jc w:val="left"/>
        <w:rPr/>
      </w:pPr>
      <w:r>
        <w:rPr/>
      </w:r>
    </w:p>
    <w:p>
      <w:pPr>
        <w:pStyle w:val="normal1"/>
        <w:rPr/>
      </w:pPr>
      <w:r>
        <w:rPr/>
        <w:t>The increased workload and inability to psychologically disconnect from the office environment are key drivers of stress.</w:t>
      </w:r>
    </w:p>
    <w:p>
      <w:pPr>
        <w:pStyle w:val="Heading2"/>
        <w:rPr/>
      </w:pPr>
      <w:bookmarkStart w:id="11" w:name="_jmu5mvfi51tc"/>
      <w:bookmarkEnd w:id="11"/>
      <w:r>
        <w:rPr/>
        <w:t>3.2 Burnout and Mental Health</w:t>
      </w:r>
    </w:p>
    <w:p>
      <w:pPr>
        <w:pStyle w:val="normal1"/>
        <w:rPr/>
      </w:pPr>
      <w:r>
        <w:rPr/>
        <w:t>Burnout statistics showed a sharp increase, particularly among employees with caregiving responsibilities.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0" w:right="0"/>
        <w:jc w:val="left"/>
        <w:rPr/>
      </w:pPr>
      <w:r>
        <w:rPr/>
      </w:r>
    </w:p>
    <w:p>
      <w:pPr>
        <w:pStyle w:val="normal1"/>
        <w:numPr>
          <w:ilvl w:val="0"/>
          <w:numId w:val="3"/>
        </w:numPr>
        <w:ind w:hanging="360" w:left="720"/>
        <w:rPr>
          <w:rFonts w:ascii="Inter" w:hAnsi="Inter" w:eastAsia="Inter" w:cs="Inter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1F1F1F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b/>
          <w:bCs/>
        </w:rPr>
        <w:t>55%</w:t>
      </w:r>
      <w:r>
        <w:rPr/>
        <w:t xml:space="preserve"> of all employees reported experiencing symptoms of high burnout (up from 20% pre-remote).</w:t>
      </w:r>
    </w:p>
    <w:p>
      <w:pPr>
        <w:pStyle w:val="normal1"/>
        <w:numPr>
          <w:ilvl w:val="0"/>
          <w:numId w:val="3"/>
        </w:numPr>
        <w:ind w:hanging="360" w:left="720"/>
        <w:rPr>
          <w:rFonts w:ascii="Inter" w:hAnsi="Inter" w:eastAsia="Inter" w:cs="Inter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1F1F1F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 xml:space="preserve">For employees with children under 10, this number rose to </w:t>
      </w:r>
      <w:r>
        <w:rPr>
          <w:b/>
          <w:bCs/>
        </w:rPr>
        <w:t>68%</w:t>
      </w:r>
      <w:r>
        <w:rPr/>
        <w:t>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0" w:right="0"/>
        <w:jc w:val="left"/>
        <w:rPr/>
      </w:pPr>
      <w:r>
        <w:rPr/>
      </w:r>
    </w:p>
    <w:p>
      <w:pPr>
        <w:pStyle w:val="normal1"/>
        <w:rPr/>
      </w:pPr>
      <w:r>
        <w:rPr/>
        <w:t>Interview data revealed that the lack of clear separation between spaces (home and work) led to feelings of "always being on," contributing directly to mental fatigue.</w:t>
      </w:r>
    </w:p>
    <w:p>
      <w:pPr>
        <w:pStyle w:val="Heading2"/>
        <w:rPr/>
      </w:pPr>
      <w:bookmarkStart w:id="12" w:name="_ic388t85ep3c"/>
      <w:bookmarkEnd w:id="12"/>
      <w:r>
        <w:rPr/>
        <w:t>3.3 Social Connection and Isolation</w:t>
      </w:r>
    </w:p>
    <w:p>
      <w:pPr>
        <w:pStyle w:val="normal1"/>
        <w:rPr/>
      </w:pPr>
      <w:r>
        <w:rPr/>
        <w:t>While productivity increased, social cohesion suffered.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0" w:right="0"/>
        <w:jc w:val="left"/>
        <w:rPr/>
      </w:pPr>
      <w:r>
        <w:rPr/>
      </w:r>
    </w:p>
    <w:p>
      <w:pPr>
        <w:pStyle w:val="normal1"/>
        <w:numPr>
          <w:ilvl w:val="0"/>
          <w:numId w:val="6"/>
        </w:numPr>
        <w:ind w:hanging="360" w:left="720"/>
        <w:rPr>
          <w:rFonts w:ascii="Inter" w:hAnsi="Inter" w:eastAsia="Inter" w:cs="Inter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1F1F1F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b/>
          <w:bCs/>
        </w:rPr>
        <w:t>42%</w:t>
      </w:r>
      <w:r>
        <w:rPr/>
        <w:t xml:space="preserve"> of employees reported feeling more isolated from their teams.</w:t>
      </w:r>
    </w:p>
    <w:p>
      <w:pPr>
        <w:pStyle w:val="normal1"/>
        <w:numPr>
          <w:ilvl w:val="0"/>
          <w:numId w:val="6"/>
        </w:numPr>
        <w:ind w:hanging="360" w:left="720"/>
        <w:rPr>
          <w:rFonts w:ascii="Inter" w:hAnsi="Inter" w:eastAsia="Inter" w:cs="Inter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1F1F1F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b/>
          <w:bCs/>
        </w:rPr>
        <w:t>60%</w:t>
      </w:r>
      <w:r>
        <w:rPr/>
        <w:t xml:space="preserve"> of new hires, onboarded entirely remotely, reported feeling disconnected from the company culture.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0" w:right="0"/>
        <w:jc w:val="left"/>
        <w:rPr/>
      </w:pPr>
      <w:r>
        <w:rPr/>
      </w:r>
    </w:p>
    <w:p>
      <w:pPr>
        <w:pStyle w:val="normal1"/>
        <w:rPr/>
      </w:pPr>
      <w:r>
        <w:rPr/>
        <w:t>This highlights the challenge of replicating the spontaneous, informal communication that drives team bonding and knowledge sharing in a virtual environment.</w:t>
      </w:r>
    </w:p>
    <w:p>
      <w:pPr>
        <w:pStyle w:val="Heading1"/>
        <w:rPr/>
      </w:pPr>
      <w:bookmarkStart w:id="13" w:name="_gcytc1gu4g76"/>
      <w:bookmarkEnd w:id="13"/>
      <w:r>
        <w:rPr/>
        <w:t>4. Key Challenges Identified</w:t>
      </w:r>
    </w:p>
    <w:p>
      <w:pPr>
        <w:pStyle w:val="normal1"/>
        <w:rPr/>
      </w:pPr>
      <w:r>
        <w:rPr/>
        <w:t>The study identified four primary challenges that must be addressed for successful long-term remote work implementation.</w:t>
      </w:r>
    </w:p>
    <w:p>
      <w:pPr>
        <w:pStyle w:val="Heading2"/>
        <w:rPr/>
      </w:pPr>
      <w:bookmarkStart w:id="14" w:name="_at6bhubkoeqy"/>
      <w:bookmarkEnd w:id="14"/>
      <w:r>
        <w:rPr/>
        <w:t>4.1 Digital Fatigue</w:t>
      </w:r>
    </w:p>
    <w:p>
      <w:pPr>
        <w:pStyle w:val="normal1"/>
        <w:rPr/>
      </w:pPr>
      <w:r>
        <w:rPr/>
        <w:t>The reliance on continuous video calls has led to "Zoom Fatigue." Employees reported: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0" w:right="0"/>
        <w:jc w:val="left"/>
        <w:rPr/>
      </w:pPr>
      <w:r>
        <w:rPr/>
      </w:r>
    </w:p>
    <w:p>
      <w:pPr>
        <w:pStyle w:val="normal1"/>
        <w:numPr>
          <w:ilvl w:val="0"/>
          <w:numId w:val="12"/>
        </w:numPr>
        <w:ind w:hanging="360" w:left="720"/>
        <w:rPr>
          <w:rFonts w:ascii="Inter" w:hAnsi="Inter" w:eastAsia="Inter" w:cs="Inter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1F1F1F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b/>
          <w:bCs/>
        </w:rPr>
        <w:t>50%</w:t>
      </w:r>
      <w:r>
        <w:rPr/>
        <w:t xml:space="preserve"> found back-to-back virtual meetings exhausting.</w:t>
      </w:r>
    </w:p>
    <w:p>
      <w:pPr>
        <w:pStyle w:val="normal1"/>
        <w:numPr>
          <w:ilvl w:val="0"/>
          <w:numId w:val="12"/>
        </w:numPr>
        <w:ind w:hanging="360" w:left="720"/>
        <w:rPr>
          <w:rFonts w:ascii="Inter" w:hAnsi="Inter" w:eastAsia="Inter" w:cs="Inter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1F1F1F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The pressure to be "visibly present" on camera was a significant source of stress.</w:t>
      </w:r>
    </w:p>
    <w:p>
      <w:pPr>
        <w:pStyle w:val="Heading2"/>
        <w:rPr/>
      </w:pPr>
      <w:bookmarkStart w:id="15" w:name="_a58m6apjyyf1"/>
      <w:bookmarkEnd w:id="15"/>
      <w:r>
        <w:rPr/>
        <w:t>4.2 Home Office Ergonomics</w:t>
      </w:r>
    </w:p>
    <w:p>
      <w:pPr>
        <w:pStyle w:val="normal1"/>
        <w:rPr/>
      </w:pPr>
      <w:r>
        <w:rPr/>
        <w:t>A significant number of employees lacked appropriate work setups, leading to physical discomfort.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0" w:right="0"/>
        <w:jc w:val="left"/>
        <w:rPr/>
      </w:pPr>
      <w:r>
        <w:rPr/>
      </w:r>
    </w:p>
    <w:p>
      <w:pPr>
        <w:pStyle w:val="normal1"/>
        <w:numPr>
          <w:ilvl w:val="0"/>
          <w:numId w:val="11"/>
        </w:numPr>
        <w:ind w:hanging="360" w:left="720"/>
        <w:rPr>
          <w:rFonts w:ascii="Inter" w:hAnsi="Inter" w:eastAsia="Inter" w:cs="Inter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1F1F1F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b/>
          <w:bCs/>
        </w:rPr>
        <w:t>70%</w:t>
      </w:r>
      <w:r>
        <w:rPr/>
        <w:t xml:space="preserve"> reported experiencing new or increased musculoskeletal pain (neck, back, shoulder).</w:t>
      </w:r>
    </w:p>
    <w:p>
      <w:pPr>
        <w:pStyle w:val="normal1"/>
        <w:numPr>
          <w:ilvl w:val="0"/>
          <w:numId w:val="11"/>
        </w:numPr>
        <w:ind w:hanging="360" w:left="720"/>
        <w:rPr>
          <w:rFonts w:ascii="Inter" w:hAnsi="Inter" w:eastAsia="Inter" w:cs="Inter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1F1F1F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 xml:space="preserve">Only </w:t>
      </w:r>
      <w:r>
        <w:rPr>
          <w:b/>
          <w:bCs/>
        </w:rPr>
        <w:t>30%</w:t>
      </w:r>
      <w:r>
        <w:rPr/>
        <w:t xml:space="preserve"> had received any company stipend for office equipment.</w:t>
      </w:r>
    </w:p>
    <w:p>
      <w:pPr>
        <w:pStyle w:val="Heading2"/>
        <w:rPr/>
      </w:pPr>
      <w:bookmarkStart w:id="16" w:name="_l8symn3j8egz"/>
      <w:bookmarkEnd w:id="16"/>
      <w:r>
        <w:rPr/>
        <w:t>4.3 Managerial Preparedness</w:t>
      </w:r>
    </w:p>
    <w:p>
      <w:pPr>
        <w:pStyle w:val="normal1"/>
        <w:rPr/>
      </w:pPr>
      <w:r>
        <w:rPr/>
        <w:t>Managers often lacked the skills required to effectively lead a remote team, focusing too heavily on activity monitoring rather than outcome management.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0" w:right="0"/>
        <w:jc w:val="left"/>
        <w:rPr/>
      </w:pPr>
      <w:r>
        <w:rPr/>
      </w:r>
    </w:p>
    <w:p>
      <w:pPr>
        <w:pStyle w:val="normal1"/>
        <w:numPr>
          <w:ilvl w:val="0"/>
          <w:numId w:val="8"/>
        </w:numPr>
        <w:ind w:hanging="360" w:left="720"/>
        <w:rPr>
          <w:rFonts w:ascii="Inter" w:hAnsi="Inter" w:eastAsia="Inter" w:cs="Inter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1F1F1F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b/>
          <w:bCs/>
        </w:rPr>
        <w:t>58%</w:t>
      </w:r>
      <w:r>
        <w:rPr/>
        <w:t xml:space="preserve"> of managers admitted to not feeling fully trained in remote leadership.</w:t>
      </w:r>
    </w:p>
    <w:p>
      <w:pPr>
        <w:pStyle w:val="normal1"/>
        <w:numPr>
          <w:ilvl w:val="0"/>
          <w:numId w:val="8"/>
        </w:numPr>
        <w:ind w:hanging="360" w:left="720"/>
        <w:rPr>
          <w:rFonts w:ascii="Inter" w:hAnsi="Inter" w:eastAsia="Inter" w:cs="Inter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1F1F1F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Employees with poorly trained remote managers reported a 25% lower job satisfaction score.</w:t>
      </w:r>
    </w:p>
    <w:p>
      <w:pPr>
        <w:pStyle w:val="Heading2"/>
        <w:rPr/>
      </w:pPr>
      <w:bookmarkStart w:id="17" w:name="_bxhvfkdrq2ay"/>
      <w:bookmarkEnd w:id="17"/>
      <w:r>
        <w:rPr/>
        <w:t>4.4 Cybersecurity and Data Protection</w:t>
      </w:r>
    </w:p>
    <w:p>
      <w:pPr>
        <w:pStyle w:val="normal1"/>
        <w:rPr/>
      </w:pPr>
      <w:r>
        <w:rPr/>
        <w:t>The shift of data processing to unsecured home networks presents a substantial risk, a trend documented in the supplementary report on organizational risk assessment in File.</w:t>
      </w:r>
    </w:p>
    <w:p>
      <w:pPr>
        <w:pStyle w:val="Heading1"/>
        <w:rPr/>
      </w:pPr>
      <w:bookmarkStart w:id="18" w:name="_kij73ohpfbkc"/>
      <w:bookmarkEnd w:id="18"/>
      <w:r>
        <w:rPr/>
        <w:t>5. Recommendations for Future Work Models</w:t>
      </w:r>
    </w:p>
    <w:p>
      <w:pPr>
        <w:pStyle w:val="normal1"/>
        <w:rPr/>
      </w:pPr>
      <w:r>
        <w:rPr/>
        <w:t>Based on the findings, the following recommendations are proposed to maximize productivity gains while mitigating risks to employee well-being.</w:t>
      </w:r>
    </w:p>
    <w:p>
      <w:pPr>
        <w:pStyle w:val="Heading2"/>
        <w:rPr/>
      </w:pPr>
      <w:bookmarkStart w:id="19" w:name="_1vp7trrkhe4t"/>
      <w:bookmarkEnd w:id="19"/>
      <w:r>
        <w:rPr/>
        <w:t>5.1 Implement a Flexible Hybrid Model</w:t>
      </w:r>
    </w:p>
    <w:p>
      <w:pPr>
        <w:pStyle w:val="normal1"/>
        <w:rPr/>
      </w:pPr>
      <w:r>
        <w:rPr/>
        <w:t>A 3-2 or 2-3 hybrid model (where employees spend 2-3 days in the office and 2-3 days remote) is recommended to balance collaboration needs with autonomy.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0" w:right="0"/>
        <w:jc w:val="left"/>
        <w:rPr/>
      </w:pPr>
      <w:r>
        <w:rPr/>
      </w:r>
    </w:p>
    <w:p>
      <w:pPr>
        <w:pStyle w:val="normal1"/>
        <w:numPr>
          <w:ilvl w:val="0"/>
          <w:numId w:val="5"/>
        </w:numPr>
        <w:ind w:hanging="360" w:left="720"/>
        <w:rPr>
          <w:rFonts w:ascii="Inter" w:hAnsi="Inter" w:eastAsia="Inter" w:cs="Inter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1F1F1F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b/>
          <w:bCs/>
        </w:rPr>
        <w:t>Office Days:</w:t>
      </w:r>
      <w:r>
        <w:rPr/>
        <w:t xml:space="preserve"> Dedicated to team building, strategic planning, and in-person collaboration.</w:t>
      </w:r>
    </w:p>
    <w:p>
      <w:pPr>
        <w:pStyle w:val="normal1"/>
        <w:numPr>
          <w:ilvl w:val="0"/>
          <w:numId w:val="5"/>
        </w:numPr>
        <w:ind w:hanging="360" w:left="720"/>
        <w:rPr>
          <w:rFonts w:ascii="Inter" w:hAnsi="Inter" w:eastAsia="Inter" w:cs="Inter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1F1F1F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b/>
          <w:bCs/>
        </w:rPr>
        <w:t>Remote Days:</w:t>
      </w:r>
      <w:r>
        <w:rPr/>
        <w:t xml:space="preserve"> Dedicated to deep, focused work requiring concentration.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0" w:right="0"/>
        <w:jc w:val="left"/>
        <w:rPr/>
      </w:pPr>
      <w:r>
        <w:rPr/>
      </w:r>
    </w:p>
    <w:p>
      <w:pPr>
        <w:pStyle w:val="normal1"/>
        <w:rPr/>
      </w:pPr>
      <w:r>
        <w:rPr/>
        <w:t>The schedule for in-office days should be coordinated via a booking system, which can be accessed through Calendar event.</w:t>
      </w:r>
    </w:p>
    <w:p>
      <w:pPr>
        <w:pStyle w:val="Heading2"/>
        <w:rPr/>
      </w:pPr>
      <w:bookmarkStart w:id="20" w:name="_fyfibgah5mmd"/>
      <w:bookmarkEnd w:id="20"/>
      <w:r>
        <w:rPr/>
        <w:t>5.2 Prioritize Well-being and Boundary Setting</w:t>
      </w:r>
    </w:p>
    <w:p>
      <w:pPr>
        <w:pStyle w:val="normal1"/>
        <w:rPr/>
      </w:pPr>
      <w:r>
        <w:rPr/>
        <w:t>Organizations must actively support the establishment of clear boundaries.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0" w:right="0"/>
        <w:jc w:val="left"/>
        <w:rPr/>
      </w:pPr>
      <w:r>
        <w:rPr/>
      </w:r>
    </w:p>
    <w:p>
      <w:pPr>
        <w:pStyle w:val="normal1"/>
        <w:numPr>
          <w:ilvl w:val="0"/>
          <w:numId w:val="9"/>
        </w:numPr>
        <w:ind w:hanging="360" w:left="720"/>
        <w:rPr>
          <w:rFonts w:ascii="Inter" w:hAnsi="Inter" w:eastAsia="Inter" w:cs="Inter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1F1F1F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b/>
          <w:bCs/>
        </w:rPr>
        <w:t>"No Internal Meeting" Day:</w:t>
      </w:r>
      <w:r>
        <w:rPr/>
        <w:t xml:space="preserve"> Mandate one day per week (e.g., Wednesdays) free of internal video meetings to allow for deep work.</w:t>
      </w:r>
    </w:p>
    <w:p>
      <w:pPr>
        <w:pStyle w:val="normal1"/>
        <w:numPr>
          <w:ilvl w:val="0"/>
          <w:numId w:val="9"/>
        </w:numPr>
        <w:ind w:hanging="360" w:left="720"/>
        <w:rPr>
          <w:rFonts w:ascii="Inter" w:hAnsi="Inter" w:eastAsia="Inter" w:cs="Inter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1F1F1F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b/>
          <w:bCs/>
        </w:rPr>
        <w:t>Ergonomic Stipend:</w:t>
      </w:r>
      <w:r>
        <w:rPr/>
        <w:t xml:space="preserve"> Institute a mandatory home office allowance of at least $500 per employee.</w:t>
      </w:r>
    </w:p>
    <w:p>
      <w:pPr>
        <w:pStyle w:val="normal1"/>
        <w:numPr>
          <w:ilvl w:val="0"/>
          <w:numId w:val="9"/>
        </w:numPr>
        <w:ind w:hanging="360" w:left="720"/>
        <w:rPr>
          <w:rFonts w:ascii="Inter" w:hAnsi="Inter" w:eastAsia="Inter" w:cs="Inter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1F1F1F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b/>
          <w:bCs/>
        </w:rPr>
        <w:t>Mental Health Resources:</w:t>
      </w:r>
      <w:r>
        <w:rPr/>
        <w:t xml:space="preserve"> Increase access to remote counseling and wellness programs, promoted via Calendar event.</w:t>
      </w:r>
    </w:p>
    <w:p>
      <w:pPr>
        <w:pStyle w:val="Heading2"/>
        <w:rPr/>
      </w:pPr>
      <w:bookmarkStart w:id="21" w:name="_w49j1rfihbgn"/>
      <w:bookmarkEnd w:id="21"/>
      <w:r>
        <w:rPr/>
        <w:t>5.3 Invest in Remote Leadership Training</w:t>
      </w:r>
    </w:p>
    <w:p>
      <w:pPr>
        <w:pStyle w:val="normal1"/>
        <w:rPr/>
      </w:pPr>
      <w:r>
        <w:rPr/>
        <w:t>Managerial training must shift from monitoring presence to assessing output and providing coaching. Training should cover: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0" w:right="0"/>
        <w:jc w:val="left"/>
        <w:rPr/>
      </w:pPr>
      <w:r>
        <w:rPr/>
      </w:r>
    </w:p>
    <w:p>
      <w:pPr>
        <w:pStyle w:val="normal1"/>
        <w:numPr>
          <w:ilvl w:val="0"/>
          <w:numId w:val="10"/>
        </w:numPr>
        <w:ind w:hanging="360" w:left="720"/>
        <w:rPr>
          <w:rFonts w:ascii="Inter" w:hAnsi="Inter" w:eastAsia="Inter" w:cs="Inter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1F1F1F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Goal Setting and Key Result management.</w:t>
      </w:r>
    </w:p>
    <w:p>
      <w:pPr>
        <w:pStyle w:val="normal1"/>
        <w:numPr>
          <w:ilvl w:val="0"/>
          <w:numId w:val="10"/>
        </w:numPr>
        <w:ind w:hanging="360" w:left="720"/>
        <w:rPr>
          <w:rFonts w:ascii="Inter" w:hAnsi="Inter" w:eastAsia="Inter" w:cs="Inter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1F1F1F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Delegation and Trust-Building.</w:t>
      </w:r>
    </w:p>
    <w:p>
      <w:pPr>
        <w:pStyle w:val="normal1"/>
        <w:numPr>
          <w:ilvl w:val="0"/>
          <w:numId w:val="10"/>
        </w:numPr>
        <w:ind w:hanging="360" w:left="720"/>
        <w:rPr>
          <w:rFonts w:ascii="Inter" w:hAnsi="Inter" w:eastAsia="Inter" w:cs="Inter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1F1F1F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Recognizing and addressing burnout in remote staff.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0" w:right="0"/>
        <w:jc w:val="left"/>
        <w:rPr/>
      </w:pPr>
      <w:r>
        <w:rPr/>
      </w:r>
    </w:p>
    <w:p>
      <w:pPr>
        <w:pStyle w:val="normal1"/>
        <w:rPr/>
      </w:pPr>
      <w:r>
        <w:rPr/>
        <w:t>We plan to launch a new training module for all people managers in Date.</w:t>
      </w:r>
    </w:p>
    <w:p>
      <w:pPr>
        <w:pStyle w:val="Heading1"/>
        <w:rPr/>
      </w:pPr>
      <w:bookmarkStart w:id="22" w:name="_xj3vfnsdbpf9"/>
      <w:bookmarkEnd w:id="22"/>
      <w:r>
        <w:rPr/>
        <w:t>6. Case Study: The Marketing Department Success</w:t>
      </w:r>
    </w:p>
    <w:p>
      <w:pPr>
        <w:pStyle w:val="normal1"/>
        <w:rPr/>
      </w:pPr>
      <w:r>
        <w:rPr/>
        <w:t>The Marketing Department achieved the highest objective productivity gains (+5.3% in project completion rate). A deeper dive into their practices reveals best practices: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0" w:right="0"/>
        <w:jc w:val="left"/>
        <w:rPr/>
      </w:pPr>
      <w:r>
        <w:rPr/>
      </w:r>
    </w:p>
    <w:p>
      <w:pPr>
        <w:pStyle w:val="normal1"/>
        <w:numPr>
          <w:ilvl w:val="0"/>
          <w:numId w:val="1"/>
        </w:numPr>
        <w:ind w:hanging="360" w:left="720"/>
        <w:rPr>
          <w:rFonts w:ascii="Inter" w:hAnsi="Inter" w:eastAsia="Inter" w:cs="Inter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1F1F1F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b/>
          <w:bCs/>
        </w:rPr>
        <w:t>Asynchronous Communication (80% rule):</w:t>
      </w:r>
      <w:r>
        <w:rPr/>
        <w:t xml:space="preserve"> They adopted a rule where 80% of communication was asynchronous (emails, documents, and project management tools), reserving video calls only for complex decisions or relationship building.</w:t>
      </w:r>
    </w:p>
    <w:p>
      <w:pPr>
        <w:pStyle w:val="normal1"/>
        <w:numPr>
          <w:ilvl w:val="0"/>
          <w:numId w:val="1"/>
        </w:numPr>
        <w:ind w:hanging="360" w:left="720"/>
        <w:rPr>
          <w:rFonts w:ascii="Inter" w:hAnsi="Inter" w:eastAsia="Inter" w:cs="Inter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1F1F1F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b/>
          <w:bCs/>
        </w:rPr>
        <w:t>Defined Core Hours:</w:t>
      </w:r>
      <w:r>
        <w:rPr/>
        <w:t xml:space="preserve"> The team agreed on "Core Collaboration Hours" (10:00 AM - 2:00 PM local time) when members were expected to be available, protecting time outside this window for focused work or personal life.</w:t>
      </w:r>
    </w:p>
    <w:p>
      <w:pPr>
        <w:pStyle w:val="normal1"/>
        <w:numPr>
          <w:ilvl w:val="0"/>
          <w:numId w:val="1"/>
        </w:numPr>
        <w:ind w:hanging="360" w:left="720"/>
        <w:rPr>
          <w:rFonts w:ascii="Inter" w:hAnsi="Inter" w:eastAsia="Inter" w:cs="Inter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1F1F1F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b/>
          <w:bCs/>
        </w:rPr>
        <w:t>Mandatory Team Social Events:</w:t>
      </w:r>
      <w:r>
        <w:rPr/>
        <w:t xml:space="preserve"> Monthly virtual social gatherings were scheduled, such as a remote cooking class or trivia night, to combat isolation, held virtually at Place.</w:t>
      </w:r>
    </w:p>
    <w:p>
      <w:pPr>
        <w:pStyle w:val="Heading1"/>
        <w:rPr/>
      </w:pPr>
      <w:bookmarkStart w:id="23" w:name="_vv9gbcsb3zo9"/>
      <w:bookmarkEnd w:id="23"/>
      <w:r>
        <w:rPr/>
        <w:t>7. Financial Implications</w:t>
      </w:r>
    </w:p>
    <w:p>
      <w:pPr>
        <w:pStyle w:val="normal1"/>
        <w:rPr/>
      </w:pPr>
      <w:r>
        <w:rPr/>
        <w:t>While the organization saved on office overhead (utilities, rent), these savings were partially offset by new costs related to remote work support.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0" w:right="0"/>
        <w:jc w:val="left"/>
        <w:rPr/>
      </w:pPr>
      <w:r>
        <w:rPr/>
      </w:r>
    </w:p>
    <w:tbl>
      <w:tblPr>
        <w:tblStyle w:val="Table3"/>
        <w:tblW w:w="1050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620"/>
      </w:tblPr>
      <w:tblGrid>
        <w:gridCol w:w="3500"/>
        <w:gridCol w:w="3500"/>
        <w:gridCol w:w="3500"/>
      </w:tblGrid>
      <w:tr>
        <w:trPr>
          <w:tblHeader w:val="true"/>
          <w:trHeight w:val="708" w:hRule="atLeast"/>
        </w:trPr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Expense Category</w:t>
            </w:r>
          </w:p>
        </w:tc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Annual Change (Estimated)</w:t>
            </w:r>
          </w:p>
        </w:tc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Notes</w:t>
            </w:r>
          </w:p>
        </w:tc>
      </w:tr>
      <w:tr>
        <w:trPr>
          <w:trHeight w:val="564" w:hRule="atLeast"/>
        </w:trPr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Office Space Overhead</w:t>
            </w:r>
          </w:p>
        </w:tc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-$4,500,000</w:t>
            </w:r>
          </w:p>
        </w:tc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Savings from reducing footprint at Place</w:t>
            </w:r>
          </w:p>
        </w:tc>
      </w:tr>
      <w:tr>
        <w:trPr>
          <w:trHeight w:val="564" w:hRule="atLeast"/>
        </w:trPr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Employee Stipends (New)</w:t>
            </w:r>
          </w:p>
        </w:tc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+$2,500,000</w:t>
            </w:r>
          </w:p>
        </w:tc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Estimated cost for $500 stipend for 5,000 employees</w:t>
            </w:r>
          </w:p>
        </w:tc>
      </w:tr>
      <w:tr>
        <w:trPr>
          <w:trHeight w:val="564" w:hRule="atLeast"/>
        </w:trPr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IT/Cybersecurity Investment</w:t>
            </w:r>
          </w:p>
        </w:tc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+$1,200,000</w:t>
            </w:r>
          </w:p>
        </w:tc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Increased spend on VPNs and remote security tools</w:t>
            </w:r>
          </w:p>
        </w:tc>
      </w:tr>
      <w:tr>
        <w:trPr>
          <w:trHeight w:val="564" w:hRule="atLeast"/>
        </w:trPr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Productivity/Wellness Program</w:t>
            </w:r>
          </w:p>
        </w:tc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+$500,000</w:t>
            </w:r>
          </w:p>
        </w:tc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New expenditure for training and mental health support</w:t>
            </w:r>
          </w:p>
        </w:tc>
      </w:tr>
      <w:tr>
        <w:trPr>
          <w:trHeight w:val="564" w:hRule="atLeast"/>
        </w:trPr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>
                <w:b/>
                <w:bCs/>
              </w:rPr>
              <w:t>Net Financial Impact</w:t>
            </w:r>
          </w:p>
        </w:tc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>
                <w:b/>
                <w:bCs/>
              </w:rPr>
              <w:t>-$300,000</w:t>
            </w:r>
          </w:p>
        </w:tc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Net loss of savings due to reinvestment in remote infrastructure</w:t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0" w:right="0"/>
        <w:jc w:val="left"/>
        <w:rPr/>
      </w:pPr>
      <w:r>
        <w:rPr/>
      </w:r>
    </w:p>
    <w:p>
      <w:pPr>
        <w:pStyle w:val="normal1"/>
        <w:rPr/>
      </w:pPr>
      <w:r>
        <w:rPr/>
        <w:t>The data suggests that the true cost of remote work is not merely about rent savings but about investing in the distributed workforce's infrastructure and well-being.</w:t>
      </w:r>
    </w:p>
    <w:p>
      <w:pPr>
        <w:pStyle w:val="Heading1"/>
        <w:rPr/>
      </w:pPr>
      <w:bookmarkStart w:id="24" w:name="_n8gejv7epz3h"/>
      <w:bookmarkEnd w:id="24"/>
      <w:r>
        <w:rPr/>
        <w:t>8. Conclusion and Future Outlook</w:t>
      </w:r>
    </w:p>
    <w:p>
      <w:pPr>
        <w:pStyle w:val="normal1"/>
        <w:rPr/>
      </w:pPr>
      <w:r>
        <w:rPr/>
        <w:t>Remote work is not a passing trend but a structural change. This study demonstrates that the gains in productivity, while significant in certain areas, come with substantial risks to employee well-being, specifically burnout and isolation. The path forward requires a deliberate, strategic shift toward a flexible hybrid model that is underpinned by trained leadership, a strong culture of psychological safety, and explicit support for work-life boundaries. Failure to address the well-being crisis threatens to erode all productivity gains in the long term.</w:t>
      </w:r>
    </w:p>
    <w:p>
      <w:pPr>
        <w:pStyle w:val="Heading1"/>
        <w:rPr/>
      </w:pPr>
      <w:bookmarkStart w:id="25" w:name="_497c5ceg49a7"/>
      <w:bookmarkEnd w:id="25"/>
      <w:r>
        <w:rPr/>
        <w:t>Appendix A: Survey Demographic Breakdown</w:t>
      </w:r>
    </w:p>
    <w:tbl>
      <w:tblPr>
        <w:tblStyle w:val="Table4"/>
        <w:tblW w:w="1000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620"/>
      </w:tblPr>
      <w:tblGrid>
        <w:gridCol w:w="5000"/>
        <w:gridCol w:w="4999"/>
      </w:tblGrid>
      <w:tr>
        <w:trPr>
          <w:tblHeader w:val="true"/>
          <w:trHeight w:val="708" w:hRule="atLeast"/>
        </w:trPr>
        <w:tc>
          <w:tcPr>
            <w:tcW w:w="50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Demographic</w:t>
            </w:r>
          </w:p>
        </w:tc>
        <w:tc>
          <w:tcPr>
            <w:tcW w:w="4999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Percentage of Survey Respondents</w:t>
            </w:r>
          </w:p>
        </w:tc>
      </w:tr>
      <w:tr>
        <w:trPr>
          <w:trHeight w:val="564" w:hRule="atLeast"/>
        </w:trPr>
        <w:tc>
          <w:tcPr>
            <w:tcW w:w="50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Gender</w:t>
            </w:r>
          </w:p>
        </w:tc>
        <w:tc>
          <w:tcPr>
            <w:tcW w:w="4999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</w:r>
          </w:p>
        </w:tc>
      </w:tr>
      <w:tr>
        <w:trPr>
          <w:trHeight w:val="564" w:hRule="atLeast"/>
        </w:trPr>
        <w:tc>
          <w:tcPr>
            <w:tcW w:w="50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Female</w:t>
            </w:r>
          </w:p>
        </w:tc>
        <w:tc>
          <w:tcPr>
            <w:tcW w:w="4999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52%</w:t>
            </w:r>
          </w:p>
        </w:tc>
      </w:tr>
      <w:tr>
        <w:trPr>
          <w:trHeight w:val="564" w:hRule="atLeast"/>
        </w:trPr>
        <w:tc>
          <w:tcPr>
            <w:tcW w:w="50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Male</w:t>
            </w:r>
          </w:p>
        </w:tc>
        <w:tc>
          <w:tcPr>
            <w:tcW w:w="4999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45%</w:t>
            </w:r>
          </w:p>
        </w:tc>
      </w:tr>
      <w:tr>
        <w:trPr>
          <w:trHeight w:val="564" w:hRule="atLeast"/>
        </w:trPr>
        <w:tc>
          <w:tcPr>
            <w:tcW w:w="50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Non-Binary / Prefer Not to Say</w:t>
            </w:r>
          </w:p>
        </w:tc>
        <w:tc>
          <w:tcPr>
            <w:tcW w:w="4999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3%</w:t>
            </w:r>
          </w:p>
        </w:tc>
      </w:tr>
      <w:tr>
        <w:trPr>
          <w:trHeight w:val="564" w:hRule="atLeast"/>
        </w:trPr>
        <w:tc>
          <w:tcPr>
            <w:tcW w:w="50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Age Group</w:t>
            </w:r>
          </w:p>
        </w:tc>
        <w:tc>
          <w:tcPr>
            <w:tcW w:w="4999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</w:r>
          </w:p>
        </w:tc>
      </w:tr>
      <w:tr>
        <w:trPr>
          <w:trHeight w:val="564" w:hRule="atLeast"/>
        </w:trPr>
        <w:tc>
          <w:tcPr>
            <w:tcW w:w="50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20-30</w:t>
            </w:r>
          </w:p>
        </w:tc>
        <w:tc>
          <w:tcPr>
            <w:tcW w:w="4999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35%</w:t>
            </w:r>
          </w:p>
        </w:tc>
      </w:tr>
      <w:tr>
        <w:trPr>
          <w:trHeight w:val="564" w:hRule="atLeast"/>
        </w:trPr>
        <w:tc>
          <w:tcPr>
            <w:tcW w:w="50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31-45</w:t>
            </w:r>
          </w:p>
        </w:tc>
        <w:tc>
          <w:tcPr>
            <w:tcW w:w="4999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45%</w:t>
            </w:r>
          </w:p>
        </w:tc>
      </w:tr>
      <w:tr>
        <w:trPr>
          <w:trHeight w:val="564" w:hRule="atLeast"/>
        </w:trPr>
        <w:tc>
          <w:tcPr>
            <w:tcW w:w="50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46-60</w:t>
            </w:r>
          </w:p>
        </w:tc>
        <w:tc>
          <w:tcPr>
            <w:tcW w:w="4999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18%</w:t>
            </w:r>
          </w:p>
        </w:tc>
      </w:tr>
      <w:tr>
        <w:trPr>
          <w:trHeight w:val="564" w:hRule="atLeast"/>
        </w:trPr>
        <w:tc>
          <w:tcPr>
            <w:tcW w:w="50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60+</w:t>
            </w:r>
          </w:p>
        </w:tc>
        <w:tc>
          <w:tcPr>
            <w:tcW w:w="4999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2%</w:t>
            </w:r>
          </w:p>
        </w:tc>
      </w:tr>
      <w:tr>
        <w:trPr>
          <w:trHeight w:val="564" w:hRule="atLeast"/>
        </w:trPr>
        <w:tc>
          <w:tcPr>
            <w:tcW w:w="50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Parental Status (Children &lt;18)</w:t>
            </w:r>
          </w:p>
        </w:tc>
        <w:tc>
          <w:tcPr>
            <w:tcW w:w="4999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40%</w:t>
            </w:r>
          </w:p>
        </w:tc>
      </w:tr>
      <w:tr>
        <w:trPr>
          <w:trHeight w:val="564" w:hRule="atLeast"/>
        </w:trPr>
        <w:tc>
          <w:tcPr>
            <w:tcW w:w="50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Years of Experience in Role</w:t>
            </w:r>
          </w:p>
        </w:tc>
        <w:tc>
          <w:tcPr>
            <w:tcW w:w="4999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</w:r>
          </w:p>
        </w:tc>
      </w:tr>
      <w:tr>
        <w:trPr>
          <w:trHeight w:val="564" w:hRule="atLeast"/>
        </w:trPr>
        <w:tc>
          <w:tcPr>
            <w:tcW w:w="50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1-3 Years</w:t>
            </w:r>
          </w:p>
        </w:tc>
        <w:tc>
          <w:tcPr>
            <w:tcW w:w="4999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25%</w:t>
            </w:r>
          </w:p>
        </w:tc>
      </w:tr>
      <w:tr>
        <w:trPr>
          <w:trHeight w:val="564" w:hRule="atLeast"/>
        </w:trPr>
        <w:tc>
          <w:tcPr>
            <w:tcW w:w="50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4-7 Years</w:t>
            </w:r>
          </w:p>
        </w:tc>
        <w:tc>
          <w:tcPr>
            <w:tcW w:w="4999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40%</w:t>
            </w:r>
          </w:p>
        </w:tc>
      </w:tr>
      <w:tr>
        <w:trPr>
          <w:trHeight w:val="564" w:hRule="atLeast"/>
        </w:trPr>
        <w:tc>
          <w:tcPr>
            <w:tcW w:w="50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8+ Years</w:t>
            </w:r>
          </w:p>
        </w:tc>
        <w:tc>
          <w:tcPr>
            <w:tcW w:w="4999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35%</w:t>
            </w:r>
          </w:p>
        </w:tc>
      </w:tr>
    </w:tbl>
    <w:p>
      <w:pPr>
        <w:pStyle w:val="Heading1"/>
        <w:rPr/>
      </w:pPr>
      <w:bookmarkStart w:id="26" w:name="_okl0ql9kspbi"/>
      <w:bookmarkEnd w:id="26"/>
      <w:r>
        <w:rPr/>
        <w:t>Appendix B: Detailed Burnout Score Metrics (By Role)</w:t>
      </w:r>
    </w:p>
    <w:p>
      <w:pPr>
        <w:pStyle w:val="normal1"/>
        <w:rPr/>
      </w:pPr>
      <w:r>
        <w:rPr/>
        <w:t>Burnout was measured using the Maslach Burnout Inventory (MBI) scale (Score 1-5, 5 being highest burnout).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0" w:right="0"/>
        <w:jc w:val="left"/>
        <w:rPr/>
      </w:pPr>
      <w:r>
        <w:rPr/>
      </w:r>
    </w:p>
    <w:tbl>
      <w:tblPr>
        <w:tblStyle w:val="Table5"/>
        <w:tblW w:w="1050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620"/>
      </w:tblPr>
      <w:tblGrid>
        <w:gridCol w:w="3500"/>
        <w:gridCol w:w="3500"/>
        <w:gridCol w:w="3500"/>
      </w:tblGrid>
      <w:tr>
        <w:trPr>
          <w:tblHeader w:val="true"/>
          <w:trHeight w:val="708" w:hRule="atLeast"/>
        </w:trPr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Role (Examples)</w:t>
            </w:r>
          </w:p>
        </w:tc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Average MBI Score (Post-Remote)</w:t>
            </w:r>
          </w:p>
        </w:tc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Percentage Increase from Baseline</w:t>
            </w:r>
          </w:p>
        </w:tc>
      </w:tr>
      <w:tr>
        <w:trPr>
          <w:trHeight w:val="564" w:hRule="atLeast"/>
        </w:trPr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Software Engineer</w:t>
            </w:r>
          </w:p>
        </w:tc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3.5</w:t>
            </w:r>
          </w:p>
        </w:tc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110%</w:t>
            </w:r>
          </w:p>
        </w:tc>
      </w:tr>
      <w:tr>
        <w:trPr>
          <w:trHeight w:val="564" w:hRule="atLeast"/>
        </w:trPr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Financial Analyst</w:t>
            </w:r>
          </w:p>
        </w:tc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3.1</w:t>
            </w:r>
          </w:p>
        </w:tc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95%</w:t>
            </w:r>
          </w:p>
        </w:tc>
      </w:tr>
      <w:tr>
        <w:trPr>
          <w:trHeight w:val="564" w:hRule="atLeast"/>
        </w:trPr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HR Specialist</w:t>
            </w:r>
          </w:p>
        </w:tc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4.2</w:t>
            </w:r>
          </w:p>
        </w:tc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150%</w:t>
            </w:r>
          </w:p>
        </w:tc>
      </w:tr>
      <w:tr>
        <w:trPr>
          <w:trHeight w:val="564" w:hRule="atLeast"/>
        </w:trPr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Senior Manager</w:t>
            </w:r>
          </w:p>
        </w:tc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3.8</w:t>
            </w:r>
          </w:p>
        </w:tc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120%</w:t>
            </w:r>
          </w:p>
        </w:tc>
      </w:tr>
      <w:tr>
        <w:trPr>
          <w:trHeight w:val="564" w:hRule="atLeast"/>
        </w:trPr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Marketing Coordinator</w:t>
            </w:r>
          </w:p>
        </w:tc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3.3</w:t>
            </w:r>
          </w:p>
        </w:tc>
        <w:tc>
          <w:tcPr>
            <w:tcW w:w="3500" w:type="dxa"/>
            <w:tcBorders>
              <w:top w:val="single" w:sz="8" w:space="0" w:color="747775"/>
              <w:bottom w:val="single" w:sz="8" w:space="0" w:color="747775"/>
            </w:tcBorders>
          </w:tcPr>
          <w:p>
            <w:pPr>
              <w:pStyle w:val="normal1"/>
              <w:rPr/>
            </w:pPr>
            <w:r>
              <w:rPr/>
              <w:t>100%</w:t>
            </w:r>
          </w:p>
        </w:tc>
      </w:tr>
    </w:tbl>
    <w:p>
      <w:pPr>
        <w:pStyle w:val="Heading1"/>
        <w:rPr/>
      </w:pPr>
      <w:bookmarkStart w:id="27" w:name="_4d8hi6xq6pd1"/>
      <w:bookmarkEnd w:id="27"/>
      <w:r>
        <w:rPr/>
        <w:t>Appendix C: Employee Testimonials (Qualitative Data Snippets)</w:t>
      </w:r>
    </w:p>
    <w:p>
      <w:pPr>
        <w:pStyle w:val="normal1"/>
        <w:rPr/>
      </w:pPr>
      <w:r>
        <w:rPr/>
        <w:t>"I get so much more focused work done, but I haven't seen the sun in three days. I just work, eat, sleep, and repeat. The lines are gone." - Person, Software Engineer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0" w:right="0"/>
        <w:jc w:val="left"/>
        <w:rPr/>
      </w:pPr>
      <w:r>
        <w:rPr/>
      </w:r>
    </w:p>
    <w:p>
      <w:pPr>
        <w:pStyle w:val="normal1"/>
        <w:rPr/>
      </w:pPr>
      <w:r>
        <w:rPr/>
        <w:t>"Managing a remote team feels like I'm constantly micromanaging, even when I don't want to. I miss seeing who is struggling." - Person, Team Lead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0" w:right="0"/>
        <w:jc w:val="left"/>
        <w:rPr/>
      </w:pPr>
      <w:r>
        <w:rPr/>
      </w:r>
    </w:p>
    <w:p>
      <w:pPr>
        <w:pStyle w:val="normal1"/>
        <w:rPr/>
      </w:pPr>
      <w:r>
        <w:rPr/>
        <w:t>"The commute time is now 'work time.' My day is 10 hours long, every day. It's great for output, terrible for my family." - Person, Financial Analyst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0" w:right="0"/>
        <w:jc w:val="left"/>
        <w:rPr/>
      </w:pPr>
      <w:r>
        <w:rPr/>
      </w:r>
    </w:p>
    <w:p>
      <w:pPr>
        <w:pStyle w:val="normal1"/>
        <w:rPr/>
      </w:pPr>
      <w:r>
        <w:rPr/>
        <w:t>"My biggest challenge is the lack of a proper chair. My back constantly hurts, but I can't afford a professional office setup." - Person, Education Administrator</w:t>
      </w:r>
    </w:p>
    <w:p>
      <w:pPr>
        <w:pStyle w:val="Heading1"/>
        <w:rPr/>
      </w:pPr>
      <w:bookmarkStart w:id="28" w:name="_a6lbt0tl443y"/>
      <w:bookmarkEnd w:id="28"/>
      <w:r>
        <w:rPr/>
        <w:t>Appendix D: Future Research Directions</w:t>
      </w:r>
    </w:p>
    <w:p>
      <w:pPr>
        <w:pStyle w:val="normal1"/>
        <w:rPr/>
      </w:pPr>
      <w:r>
        <w:rPr/>
        <w:t>The next phase of this study will focus on the long-term effects of hybrid work. Key areas of investigation will include: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0" w:right="0"/>
        <w:jc w:val="left"/>
        <w:rPr/>
      </w:pPr>
      <w:r>
        <w:rPr/>
      </w:r>
    </w:p>
    <w:p>
      <w:pPr>
        <w:pStyle w:val="normal1"/>
        <w:numPr>
          <w:ilvl w:val="0"/>
          <w:numId w:val="2"/>
        </w:numPr>
        <w:ind w:hanging="360" w:left="720"/>
        <w:rPr>
          <w:rFonts w:ascii="Inter" w:hAnsi="Inter" w:eastAsia="Inter" w:cs="Inter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1F1F1F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b/>
          <w:bCs/>
        </w:rPr>
        <w:t>Equity in Hybrid Models:</w:t>
      </w:r>
      <w:r>
        <w:rPr/>
        <w:t xml:space="preserve"> Analyzing potential biases where employees who spend more time in the office receive preferential treatment ("proximity bias").</w:t>
      </w:r>
    </w:p>
    <w:p>
      <w:pPr>
        <w:pStyle w:val="normal1"/>
        <w:numPr>
          <w:ilvl w:val="0"/>
          <w:numId w:val="2"/>
        </w:numPr>
        <w:ind w:hanging="360" w:left="720"/>
        <w:rPr>
          <w:rFonts w:ascii="Inter" w:hAnsi="Inter" w:eastAsia="Inter" w:cs="Inter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1F1F1F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b/>
          <w:bCs/>
        </w:rPr>
        <w:t>Innovation Metrics:</w:t>
      </w:r>
      <w:r>
        <w:rPr/>
        <w:t xml:space="preserve"> Developing methods to quantitatively measure the impact of remote and hybrid models on cross-functional collaboration and innovation output.</w:t>
      </w:r>
    </w:p>
    <w:p>
      <w:pPr>
        <w:pStyle w:val="normal1"/>
        <w:numPr>
          <w:ilvl w:val="0"/>
          <w:numId w:val="2"/>
        </w:numPr>
        <w:ind w:hanging="360" w:left="720"/>
        <w:rPr>
          <w:rFonts w:ascii="Inter" w:hAnsi="Inter" w:eastAsia="Inter" w:cs="Inter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1F1F1F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b/>
          <w:bCs/>
        </w:rPr>
        <w:t>Sustainability:</w:t>
      </w:r>
      <w:r>
        <w:rPr/>
        <w:t xml:space="preserve"> Assessing the environmental impact of a reduced commute and decentralized office footprint.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0" w:right="0"/>
        <w:jc w:val="left"/>
        <w:rPr/>
      </w:pPr>
      <w:r>
        <w:rPr/>
      </w:r>
    </w:p>
    <w:p>
      <w:pPr>
        <w:pStyle w:val="normal1"/>
        <w:rPr/>
      </w:pPr>
      <w:r>
        <w:rPr/>
        <w:t>The next study phase is slated to commence on Date, and the proposal is detailed in File.</w:t>
      </w:r>
    </w:p>
    <w:p>
      <w:pPr>
        <w:pStyle w:val="Heading1"/>
        <w:rPr/>
      </w:pPr>
      <w:bookmarkStart w:id="29" w:name="_inawgqit8151"/>
      <w:bookmarkEnd w:id="29"/>
      <w:r>
        <w:rPr/>
        <w:t>Appendix E: References</w:t>
      </w:r>
    </w:p>
    <w:p>
      <w:pPr>
        <w:pStyle w:val="normal1"/>
        <w:numPr>
          <w:ilvl w:val="0"/>
          <w:numId w:val="4"/>
        </w:numPr>
        <w:ind w:hanging="360" w:left="720"/>
        <w:rPr>
          <w:rFonts w:ascii="Inter" w:hAnsi="Inter" w:eastAsia="Inter" w:cs="Inter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1F1F1F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The State of Remote Work, Global Survey (Date)</w:t>
      </w:r>
    </w:p>
    <w:p>
      <w:pPr>
        <w:pStyle w:val="normal1"/>
        <w:numPr>
          <w:ilvl w:val="0"/>
          <w:numId w:val="4"/>
        </w:numPr>
        <w:ind w:hanging="360" w:left="720"/>
        <w:rPr>
          <w:rFonts w:ascii="Inter" w:hAnsi="Inter" w:eastAsia="Inter" w:cs="Inter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1F1F1F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Productivity Benchmarking Report, Internal Data (Date)</w:t>
      </w:r>
    </w:p>
    <w:p>
      <w:pPr>
        <w:pStyle w:val="normal1"/>
        <w:numPr>
          <w:ilvl w:val="0"/>
          <w:numId w:val="4"/>
        </w:numPr>
        <w:ind w:hanging="360" w:left="720"/>
        <w:rPr>
          <w:rFonts w:ascii="Inter" w:hAnsi="Inter" w:eastAsia="Inter" w:cs="Inter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1F1F1F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Maslach Burnout Inventory – Technical Manual, Person, (Date)</w:t>
      </w:r>
    </w:p>
    <w:p>
      <w:pPr>
        <w:pStyle w:val="normal1"/>
        <w:numPr>
          <w:ilvl w:val="0"/>
          <w:numId w:val="4"/>
        </w:numPr>
        <w:ind w:hanging="360" w:left="720"/>
        <w:rPr>
          <w:rFonts w:ascii="Inter" w:hAnsi="Inter" w:eastAsia="Inter" w:cs="Inter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1F1F1F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Organizational Risk Assessment: Remote Operations (File)</w:t>
      </w:r>
    </w:p>
    <w:p>
      <w:pPr>
        <w:pStyle w:val="normal1"/>
        <w:rPr/>
      </w:pPr>
      <w:r>
        <w:rPr/>
      </w:r>
    </w:p>
    <w:sectPr>
      <w:footerReference w:type="default" r:id="rId2"/>
      <w:type w:val="nextPage"/>
      <w:pgSz w:w="12240" w:h="15840"/>
      <w:pgMar w:left="1440" w:right="1440" w:gutter="0" w:header="0" w:top="1440" w:footer="1440" w:bottom="1988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Inter">
    <w:charset w:val="01"/>
    <w:family w:val="roman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Inter Medium">
    <w:charset w:val="01"/>
    <w:family w:val="roman"/>
    <w:pitch w:val="variable"/>
    <w:embedRegular r:id="rId9" w:fontKey="{09014A78-CABC-4EF0-12AC-5CD89AEFDE09}"/>
    <w:embedBold r:id="rId10" w:fontKey="{0A014A78-CABC-4EF0-12AC-5CD89AEFDE0A}"/>
    <w:embedBoldItalic r:id="rId11" w:fontKey="{0B014A78-CABC-4EF0-12AC-5CD89AEFDE0B}"/>
  </w:font>
  <w:font w:name="Liberation Sans">
    <w:altName w:val="Arial"/>
    <w:charset w:val="01"/>
    <w:family w:val="swiss"/>
    <w:pitch w:val="variable"/>
    <w:embedRegular r:id="rId12" w:fontKey="{0C014A78-CABC-4EF0-12AC-5CD89AEFDE0C}"/>
    <w:embedBold r:id="rId13" w:fontKey="{0D014A78-CABC-4EF0-12AC-5CD89AEFDE0D}"/>
    <w:embedItalic r:id="rId14" w:fontKey="{0E014A78-CABC-4EF0-12AC-5CD89AEFDE0E}"/>
    <w:embedBoldItalic r:id="rId15" w:fontKey="{0F014A78-CABC-4EF0-12AC-5CD89AEFDE0F}"/>
  </w:font>
  <w:font w:name="Wingdings">
    <w:charset w:val="02"/>
    <w:family w:val="auto"/>
    <w:pitch w:val="default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default"/>
    <w:embedRegular r:id="rId16" w:fontKey="{10014A78-CABC-4EF0-12AC-5CD89AEFDE10}"/>
    <w:embedBold r:id="rId17" w:fontKey="{11014A78-CABC-4EF0-12AC-5CD89AEFDE11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center"/>
      <w:rPr>
        <w:rFonts w:ascii="Liberation Serif" w:hAnsi="Liberation Serif"/>
        <w:i/>
        <w:i/>
        <w:iCs/>
        <w:sz w:val="20"/>
        <w:szCs w:val="20"/>
      </w:rPr>
    </w:pPr>
    <w:r>
      <w:rPr>
        <w:rFonts w:ascii="Liberation Serif" w:hAnsi="Liberation Serif"/>
        <w:i/>
        <w:iCs/>
        <w:sz w:val="20"/>
        <w:szCs w:val="20"/>
      </w:rPr>
      <w:t xml:space="preserve">Page </w:t>
    </w:r>
    <w:r>
      <w:rPr>
        <w:rFonts w:ascii="Liberation Serif" w:hAnsi="Liberation Serif"/>
        <w:i/>
        <w:iCs/>
        <w:sz w:val="20"/>
        <w:szCs w:val="20"/>
      </w:rPr>
      <w:fldChar w:fldCharType="begin"/>
    </w:r>
    <w:r>
      <w:rPr>
        <w:sz w:val="20"/>
        <w:i/>
        <w:szCs w:val="20"/>
        <w:iCs/>
        <w:rFonts w:ascii="Liberation Serif" w:hAnsi="Liberation Serif"/>
      </w:rPr>
      <w:instrText xml:space="preserve"> PAGE </w:instrText>
    </w:r>
    <w:r>
      <w:rPr>
        <w:sz w:val="20"/>
        <w:i/>
        <w:szCs w:val="20"/>
        <w:iCs/>
        <w:rFonts w:ascii="Liberation Serif" w:hAnsi="Liberation Serif"/>
      </w:rPr>
      <w:fldChar w:fldCharType="separate"/>
    </w:r>
    <w:r>
      <w:rPr>
        <w:sz w:val="20"/>
        <w:i/>
        <w:szCs w:val="20"/>
        <w:iCs/>
        <w:rFonts w:ascii="Liberation Serif" w:hAnsi="Liberation Serif"/>
      </w:rPr>
      <w:t>1</w:t>
    </w:r>
    <w:r>
      <w:rPr>
        <w:sz w:val="20"/>
        <w:i/>
        <w:szCs w:val="20"/>
        <w:iCs/>
        <w:rFonts w:ascii="Liberation Serif" w:hAnsi="Liberation Serif"/>
      </w:rPr>
      <w:fldChar w:fldCharType="end"/>
    </w:r>
    <w:r>
      <w:rPr>
        <w:rFonts w:ascii="Liberation Serif" w:hAnsi="Liberation Serif"/>
        <w:i/>
        <w:iCs/>
        <w:sz w:val="20"/>
        <w:szCs w:val="20"/>
      </w:rPr>
      <w:t xml:space="preserve"> of </w:t>
    </w:r>
    <w:r>
      <w:rPr>
        <w:rFonts w:ascii="Liberation Serif" w:hAnsi="Liberation Serif"/>
        <w:i/>
        <w:iCs/>
        <w:sz w:val="20"/>
        <w:szCs w:val="20"/>
      </w:rPr>
      <w:fldChar w:fldCharType="begin"/>
    </w:r>
    <w:r>
      <w:rPr>
        <w:sz w:val="20"/>
        <w:i/>
        <w:szCs w:val="20"/>
        <w:iCs/>
        <w:rFonts w:ascii="Liberation Serif" w:hAnsi="Liberation Serif"/>
      </w:rPr>
      <w:instrText xml:space="preserve"> NUMPAGES </w:instrText>
    </w:r>
    <w:r>
      <w:rPr>
        <w:sz w:val="20"/>
        <w:i/>
        <w:szCs w:val="20"/>
        <w:iCs/>
        <w:rFonts w:ascii="Liberation Serif" w:hAnsi="Liberation Serif"/>
      </w:rPr>
      <w:fldChar w:fldCharType="separate"/>
    </w:r>
    <w:r>
      <w:rPr>
        <w:sz w:val="20"/>
        <w:i/>
        <w:szCs w:val="20"/>
        <w:iCs/>
        <w:rFonts w:ascii="Liberation Serif" w:hAnsi="Liberation Serif"/>
      </w:rPr>
      <w:t>9</w:t>
    </w:r>
    <w:r>
      <w:rPr>
        <w:sz w:val="20"/>
        <w:i/>
        <w:szCs w:val="20"/>
        <w:iCs/>
        <w:rFonts w:ascii="Liberation Serif" w:hAnsi="Liberation Serif"/>
      </w:rPr>
      <w:fldChar w:fldCharType="end"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6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7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8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9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2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w="http://schemas.openxmlformats.org/wordprocessingml/2006/main">
  <w:zoom w:percent="141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Inter" w:hAnsi="Inter" w:eastAsia="Inter" w:cs="Inter"/>
        <w:color w:val="1F1F1F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Inter" w:hAnsi="Inter" w:eastAsia="Inter" w:cs="Inter"/>
      <w:color w:val="1F1F1F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rFonts w:ascii="Inter Medium" w:hAnsi="Inter Medium" w:eastAsia="Inter Medium" w:cs="Inter Medium"/>
      <w:i w:val="false"/>
      <w:iCs w:val="false"/>
      <w:sz w:val="32"/>
      <w:szCs w:val="32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Inter Medium" w:hAnsi="Inter Medium" w:eastAsia="Inter Medium" w:cs="Inter Medium"/>
      <w:i w:val="false"/>
      <w:iCs w:val="false"/>
      <w:sz w:val="28"/>
      <w:szCs w:val="28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rFonts w:ascii="Inter Medium" w:hAnsi="Inter Medium" w:eastAsia="Inter Medium" w:cs="Inter Medium"/>
      <w:i w:val="false"/>
      <w:iCs w:val="false"/>
      <w:sz w:val="24"/>
      <w:szCs w:val="24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rFonts w:ascii="Inter Medium" w:hAnsi="Inter Medium" w:eastAsia="Inter Medium" w:cs="Inter Medium"/>
      <w:i w:val="false"/>
      <w:iCs w:val="false"/>
      <w:sz w:val="22"/>
      <w:szCs w:val="22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rFonts w:ascii="Inter Medium" w:hAnsi="Inter Medium" w:eastAsia="Inter Medium" w:cs="Inter Medium"/>
      <w:i/>
      <w:i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rFonts w:ascii="Inter" w:hAnsi="Inter" w:eastAsia="Inter" w:cs="Inter"/>
      <w:i/>
      <w:iCs/>
      <w:sz w:val="22"/>
      <w:szCs w:val="22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left"/>
    </w:pPr>
    <w:rPr>
      <w:rFonts w:ascii="Inter" w:hAnsi="Inter" w:eastAsia="Inter" w:cs="Inter"/>
      <w:color w:val="1F1F1F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rFonts w:ascii="Inter Medium" w:hAnsi="Inter Medium" w:eastAsia="Inter Medium" w:cs="Inter Medium"/>
      <w:i w:val="false"/>
      <w:iCs w:val="false"/>
      <w:sz w:val="48"/>
      <w:szCs w:val="48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Inter" w:hAnsi="Inter" w:eastAsia="Inter" w:cs="Inter"/>
      <w:sz w:val="28"/>
      <w:szCs w:val="28"/>
    </w:rPr>
  </w:style>
  <w:style w:type="paragraph" w:styleId="HeaderandFooter">
    <w:name w:val="Header and Footer"/>
    <w:basedOn w:val="Normal"/>
    <w:qFormat/>
    <w:pPr>
      <w:suppressLineNumbers/>
      <w:tabs>
        <w:tab w:val="clear" w:pos="720"/>
        <w:tab w:val="center" w:pos="4680" w:leader="none"/>
        <w:tab w:val="right" w:pos="9360" w:leader="none"/>
      </w:tabs>
    </w:pPr>
    <w:rPr/>
  </w:style>
  <w:style w:type="paragraph" w:styleId="Footer">
    <w:name w:val="footer"/>
    <w:basedOn w:val="HeaderandFooter"/>
    <w:pPr>
      <w:suppressLineNumbers/>
    </w:pPr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oter" Target="foot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LibreOffice/25.2.6.2$Linux_X86_64 LibreOffice_project/520$Build-2</Application>
  <AppVersion>15.0000</AppVersion>
  <Pages>9</Pages>
  <Words>1798</Words>
  <Characters>10687</Characters>
  <CharactersWithSpaces>12242</CharactersWithSpaces>
  <Paragraphs>211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en-US</dc:language>
  <cp:lastModifiedBy/>
  <dcterms:modified xsi:type="dcterms:W3CDTF">2025-12-29T21:25:00Z</dcterms:modified>
  <cp:revision>1</cp:revision>
  <dc:subject/>
  <dc:title/>
</cp:coreProperties>
</file>